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君迁子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Diospyros lotus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柿科柿属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"https://www.iplant.cn/info/%E7%89%9B%E5%A5%B6%E6%9F%BF"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牛奶柿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"https://www.iplant.cn/info/%E9%BB%91%E6%9E%A3"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黑枣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"https://www.iplant.cn/info/%E8%BD%AF%E6%9E%A3"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软枣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高大落叶乔木；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高达30米；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小枝褐或棕色，平滑或有黄灰色柔毛；冬芽窄卵圆形，叶近膜质，椭圆形或长椭圆形，长5-13厘米，宽2.5-6厘米，先端渐尖或尖，基部宽楔形或近圆，上面深绿色，有光泽，初被柔毛，后渐脱落，下面绿或粉绿色，被柔毛，脉上较多或无毛，侧脉7-10对；叶柄长0.7-1.5(1.8)厘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叶近膜质，椭圆形或长椭圆形，先端渐尖，基部宽楔形或近圆；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花4数，雄花腋生、单生或数花簇生，带红色或淡黄色，雄蕊16，子房退化；雌花单生，淡绿色或带红色，退化雄蕊8，花柱4；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果近球形或椭圆形，成熟时蓝黑色，常被白色薄蜡层；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种子长圆形，褐色，侧扁；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产我国辽宁以南大部湿润半湿润区，亚洲西部、小亚细亚、欧洲南部有分布；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国外分布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亚洲西部、小亚细亚、欧洲南部，在地中海各国已经驯化；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生境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山地、山坡、山谷的灌丛中，或在林缘；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海拔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500-2300m；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花期5-6月，果期10-11月；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栽培要点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为阳性树种，能耐半荫，枝叶多呈水平伸展，抗寒抗旱的能力较强，也耐瘠薄的土壤， 生长较速，寿命较长；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成熟果实可供食用，亦可制成柿饼，入药*可止消渴，去烦热；又可供制糖，酿酒，制醋；果实、嫩叶均可供提取丙种维生素；未熟果实可提制柿漆，供医药和涂料用；木材质硬，耐磨损，可作纺织木梭、雕刻、小用具等，又材色淡褐，纹理美丽，可作精美家具和文具；树皮可供提取单宁和制人造棉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 w:bidi="ar"/>
          <w14:textFill>
            <w14:solidFill>
              <w14:schemeClr w14:val="bg1"/>
            </w14:solidFill>
          </w14:textFill>
        </w:rPr>
        <w:tab/>
      </w:r>
      <w:r>
        <w:rPr>
          <w:rFonts w:hint="eastAsia"/>
        </w:rPr>
        <w:t>奉和袭美吴中言怀寄南海二同年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唐·陆龟蒙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曾见凌风上赤霄，尽将华藻赴嘉招。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城连虎踞山图丽，路入龙编海舶遥。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江客渔歌冲白荇，野禽人语映红蕉。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庭中必有君迁树，莫向空台望汉朝。</w:t>
      </w:r>
    </w:p>
    <w:p>
      <w:pPr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忆儿时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当代·佚名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儿时嬉戏树荫下，君迁子熟满枝桠。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</w:rPr>
        <w:t>偷采尝来滋味美，欢声笑语乐无涯。”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"https://www.iplant.cn/info/%E5%90%9B%E8%BF%81%E5%AD%90?t=z"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君迁子 Diospyros lotus|iPlant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47925" cy="2543175"/>
            <wp:effectExtent l="0" t="0" r="5715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11927F2B"/>
    <w:rsid w:val="119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2024-05-22T09:34:00Z</dcterms:created>
  <dc:creator>龙血树</dc:creator>
  <cp:lastModifiedBy>龙血树</cp:lastModifiedBy>
  <dcterms:modified xsi:type="dcterms:W3CDTF">2024-05-22T09:34:27Z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849E3E8A007D4E2282FDB7B33356A54D_11</vt:lpwstr>
  </property>
</Properties>
</file>